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BD122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DEL</w:t>
      </w:r>
      <w:r w:rsidR="001529C2" w:rsidRPr="001529C2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r w:rsidR="00FB7F58" w:rsidRPr="00FB7F58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FARMACO </w:t>
      </w:r>
      <w:r w:rsidR="003037EC" w:rsidRPr="003037E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GLICERINACLISMI PER BAMBINI - SOLUZIONE RETTALE DA 2,25 GRAMMI</w:t>
      </w:r>
      <w:bookmarkStart w:id="0" w:name="_GoBack"/>
      <w:bookmarkEnd w:id="0"/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037EC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037EC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037EC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037E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037EC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037E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037EC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9E3773"/>
    <w:rsid w:val="00A63405"/>
    <w:rsid w:val="00B208CB"/>
    <w:rsid w:val="00BA1B48"/>
    <w:rsid w:val="00BD122F"/>
    <w:rsid w:val="00CB011F"/>
    <w:rsid w:val="00EF6F85"/>
    <w:rsid w:val="00FB7F58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29</cp:revision>
  <cp:lastPrinted>2025-07-17T11:03:00Z</cp:lastPrinted>
  <dcterms:created xsi:type="dcterms:W3CDTF">2024-01-30T09:40:00Z</dcterms:created>
  <dcterms:modified xsi:type="dcterms:W3CDTF">2026-03-19T11:45:00Z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